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B" w:rsidRPr="00A33AB0" w:rsidRDefault="00CB043B" w:rsidP="00CB043B">
      <w:pPr>
        <w:jc w:val="center"/>
        <w:rPr>
          <w:rFonts w:ascii="Rotis" w:hAnsi="Rotis" w:cs="Tahoma"/>
          <w:b/>
          <w:u w:val="single"/>
        </w:rPr>
      </w:pPr>
      <w:r>
        <w:rPr>
          <w:rFonts w:ascii="Rotis" w:hAnsi="Rotis" w:cs="Tahoma"/>
          <w:b/>
          <w:u w:val="single"/>
        </w:rPr>
        <w:t>Sportkurse</w:t>
      </w:r>
      <w:r w:rsidRPr="00A33AB0">
        <w:rPr>
          <w:rFonts w:ascii="Rotis" w:hAnsi="Rotis" w:cs="Tahoma"/>
          <w:b/>
          <w:u w:val="single"/>
        </w:rPr>
        <w:t xml:space="preserve"> in der Qualifikationsphase</w:t>
      </w:r>
    </w:p>
    <w:p w:rsidR="00CB043B" w:rsidRDefault="00CB043B" w:rsidP="00CB043B">
      <w:pPr>
        <w:jc w:val="both"/>
        <w:rPr>
          <w:rFonts w:ascii="Rotis" w:hAnsi="Rotis" w:cs="Tahoma"/>
          <w:b/>
          <w:u w:val="single"/>
        </w:rPr>
      </w:pPr>
    </w:p>
    <w:p w:rsidR="00CB043B" w:rsidRDefault="00CB043B" w:rsidP="00CB043B">
      <w:pPr>
        <w:jc w:val="both"/>
        <w:rPr>
          <w:rFonts w:ascii="Rotis" w:hAnsi="Rotis" w:cs="Tahoma"/>
          <w:b/>
          <w:i/>
          <w:szCs w:val="28"/>
          <w:u w:val="single"/>
        </w:rPr>
      </w:pPr>
    </w:p>
    <w:p w:rsidR="00CB043B" w:rsidRPr="00101461" w:rsidRDefault="00CB043B" w:rsidP="00CB043B">
      <w:pPr>
        <w:jc w:val="both"/>
        <w:rPr>
          <w:rFonts w:ascii="Rotis" w:hAnsi="Rotis" w:cs="Tahoma"/>
          <w:b/>
          <w:u w:val="single"/>
        </w:rPr>
      </w:pPr>
      <w:r w:rsidRPr="00101461">
        <w:rPr>
          <w:rFonts w:ascii="Rotis" w:hAnsi="Rotis" w:cs="Tahoma"/>
          <w:b/>
          <w:i/>
          <w:szCs w:val="28"/>
          <w:u w:val="single"/>
        </w:rPr>
        <w:t>Kurs</w:t>
      </w:r>
      <w:r>
        <w:rPr>
          <w:rFonts w:ascii="Rotis" w:hAnsi="Rotis" w:cs="Tahoma"/>
          <w:b/>
          <w:i/>
          <w:szCs w:val="28"/>
          <w:u w:val="single"/>
        </w:rPr>
        <w:t>variante</w:t>
      </w:r>
      <w:r w:rsidR="00720172">
        <w:rPr>
          <w:rFonts w:ascii="Rotis" w:hAnsi="Rotis" w:cs="Tahoma"/>
          <w:b/>
          <w:i/>
          <w:szCs w:val="28"/>
          <w:u w:val="single"/>
        </w:rPr>
        <w:t xml:space="preserve"> </w:t>
      </w:r>
      <w:r w:rsidRPr="00101461">
        <w:rPr>
          <w:rFonts w:ascii="Rotis" w:hAnsi="Rotis" w:cs="Tahoma"/>
          <w:b/>
          <w:i/>
          <w:szCs w:val="28"/>
          <w:u w:val="single"/>
        </w:rPr>
        <w:t xml:space="preserve"> </w:t>
      </w:r>
    </w:p>
    <w:p w:rsidR="00CB043B" w:rsidRPr="00720172" w:rsidRDefault="00CB043B" w:rsidP="00CB043B">
      <w:pPr>
        <w:rPr>
          <w:rFonts w:ascii="Rotis" w:hAnsi="Rotis" w:cs="Tahoma"/>
          <w:b/>
          <w:i/>
          <w:sz w:val="28"/>
          <w:szCs w:val="28"/>
        </w:rPr>
      </w:pPr>
    </w:p>
    <w:p w:rsidR="00CB043B" w:rsidRPr="00720172" w:rsidRDefault="00CB043B" w:rsidP="00CB043B">
      <w:pPr>
        <w:rPr>
          <w:rFonts w:ascii="Rotis" w:hAnsi="Rotis" w:cs="Tahoma"/>
          <w:b/>
        </w:rPr>
      </w:pPr>
      <w:r w:rsidRPr="00720172">
        <w:rPr>
          <w:rFonts w:ascii="Rotis" w:hAnsi="Rotis" w:cs="Tahoma"/>
          <w:b/>
        </w:rPr>
        <w:t>Profilbildende pädagogischen Perspektiven:</w:t>
      </w:r>
    </w:p>
    <w:p w:rsidR="00B84CE2" w:rsidRPr="00720172" w:rsidRDefault="00B84CE2" w:rsidP="00B84CE2">
      <w:pPr>
        <w:numPr>
          <w:ilvl w:val="0"/>
          <w:numId w:val="7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720172">
        <w:rPr>
          <w:rFonts w:ascii="Rotis" w:hAnsi="Rotis" w:cs="Tahoma"/>
          <w:bCs/>
          <w:i/>
        </w:rPr>
        <w:t>Kooperieren, wettkämpfen und sich verständigen (E)</w:t>
      </w:r>
    </w:p>
    <w:p w:rsidR="00B84CE2" w:rsidRPr="00720172" w:rsidRDefault="00B84CE2" w:rsidP="00B84CE2">
      <w:pPr>
        <w:numPr>
          <w:ilvl w:val="0"/>
          <w:numId w:val="7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720172">
        <w:rPr>
          <w:rFonts w:ascii="Rotis" w:hAnsi="Rotis" w:cs="Tahoma"/>
          <w:bCs/>
          <w:i/>
        </w:rPr>
        <w:t>Das Leisten erfahren, verstehen und einschätzen (D)</w:t>
      </w:r>
    </w:p>
    <w:p w:rsidR="00CB043B" w:rsidRPr="00720172" w:rsidRDefault="00CB043B" w:rsidP="00B84CE2">
      <w:pPr>
        <w:rPr>
          <w:rFonts w:ascii="Rotis" w:hAnsi="Rotis" w:cs="Tahoma"/>
          <w:bCs/>
        </w:rPr>
      </w:pPr>
    </w:p>
    <w:p w:rsidR="00CB043B" w:rsidRPr="00720172" w:rsidRDefault="00CB043B" w:rsidP="00CB043B">
      <w:pPr>
        <w:ind w:left="360"/>
        <w:rPr>
          <w:rFonts w:ascii="Rotis" w:hAnsi="Rotis" w:cs="Tahoma"/>
          <w:b/>
          <w:bCs/>
          <w:i/>
        </w:rPr>
      </w:pPr>
    </w:p>
    <w:p w:rsidR="00CB043B" w:rsidRPr="00720172" w:rsidRDefault="00CB043B" w:rsidP="00CB043B">
      <w:pPr>
        <w:rPr>
          <w:rFonts w:ascii="Rotis" w:hAnsi="Rotis" w:cs="Tahoma"/>
          <w:b/>
        </w:rPr>
      </w:pPr>
      <w:r w:rsidRPr="00720172">
        <w:rPr>
          <w:rFonts w:ascii="Rotis" w:hAnsi="Rotis" w:cs="Tahoma"/>
          <w:b/>
        </w:rPr>
        <w:t>Profilbildende Bewegungsfelder und Sportbereiche:</w:t>
      </w:r>
    </w:p>
    <w:p w:rsidR="00CB043B" w:rsidRPr="00720172" w:rsidRDefault="00B84CE2" w:rsidP="00B84CE2">
      <w:pPr>
        <w:numPr>
          <w:ilvl w:val="0"/>
          <w:numId w:val="2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720172">
        <w:rPr>
          <w:rFonts w:ascii="Rotis" w:hAnsi="Rotis" w:cs="Tahoma"/>
          <w:bCs/>
          <w:i/>
        </w:rPr>
        <w:t xml:space="preserve"> Spielen in und mit Regelstrukturen – Sportspiele (Inhaltsbereich 7) </w:t>
      </w:r>
    </w:p>
    <w:p w:rsidR="00CB043B" w:rsidRPr="00720172" w:rsidRDefault="00CB043B" w:rsidP="00B9299D">
      <w:pPr>
        <w:autoSpaceDE w:val="0"/>
        <w:autoSpaceDN w:val="0"/>
        <w:adjustRightInd w:val="0"/>
        <w:ind w:left="1440"/>
        <w:rPr>
          <w:rFonts w:ascii="Rotis" w:hAnsi="Rotis" w:cs="Tahoma"/>
        </w:rPr>
      </w:pPr>
      <w:r w:rsidRPr="00720172">
        <w:rPr>
          <w:rFonts w:ascii="Rotis" w:hAnsi="Rotis" w:cs="Tahoma"/>
          <w:bCs/>
        </w:rPr>
        <w:t xml:space="preserve">kontinuierlich: </w:t>
      </w:r>
      <w:r w:rsidR="00B84CE2" w:rsidRPr="00720172">
        <w:rPr>
          <w:rFonts w:ascii="Rotis" w:hAnsi="Rotis" w:cs="Tahoma"/>
          <w:b/>
          <w:bCs/>
        </w:rPr>
        <w:t>Basketball</w:t>
      </w:r>
    </w:p>
    <w:p w:rsidR="00B84CE2" w:rsidRPr="00720172" w:rsidRDefault="00CB043B" w:rsidP="00B9299D">
      <w:pPr>
        <w:autoSpaceDE w:val="0"/>
        <w:autoSpaceDN w:val="0"/>
        <w:adjustRightInd w:val="0"/>
        <w:ind w:left="1440"/>
        <w:rPr>
          <w:rFonts w:ascii="Rotis" w:hAnsi="Rotis" w:cs="Tahoma"/>
        </w:rPr>
      </w:pPr>
      <w:r w:rsidRPr="00720172">
        <w:rPr>
          <w:rFonts w:ascii="Rotis" w:hAnsi="Rotis" w:cs="Tahoma"/>
          <w:bCs/>
        </w:rPr>
        <w:t>Weiterer (verbindlicher) Inhaltsbereich wahlweise aus: _</w:t>
      </w:r>
      <w:r w:rsidR="00B84CE2" w:rsidRPr="00720172">
        <w:rPr>
          <w:rFonts w:ascii="Rotis" w:hAnsi="Rotis" w:cs="Tahoma"/>
          <w:bCs/>
        </w:rPr>
        <w:t xml:space="preserve"> Fußball, Handball, Volleyball, Badminton, Hockey, Tennis, Tischtennis,</w:t>
      </w:r>
      <w:r w:rsidR="00B84CE2" w:rsidRPr="00720172">
        <w:rPr>
          <w:rFonts w:ascii="Rotis" w:hAnsi="Rotis" w:cs="Tahoma"/>
          <w:b/>
          <w:bCs/>
        </w:rPr>
        <w:t xml:space="preserve"> </w:t>
      </w:r>
      <w:r w:rsidR="00B84CE2" w:rsidRPr="00720172">
        <w:rPr>
          <w:rFonts w:ascii="Rotis" w:hAnsi="Rotis" w:cs="Tahoma"/>
        </w:rPr>
        <w:t xml:space="preserve">Street-Variationen, </w:t>
      </w:r>
      <w:proofErr w:type="spellStart"/>
      <w:r w:rsidR="00B84CE2" w:rsidRPr="00720172">
        <w:rPr>
          <w:rFonts w:ascii="Rotis" w:hAnsi="Rotis" w:cs="Tahoma"/>
        </w:rPr>
        <w:t>Futsal</w:t>
      </w:r>
      <w:proofErr w:type="spellEnd"/>
      <w:r w:rsidR="00B84CE2" w:rsidRPr="00720172">
        <w:rPr>
          <w:rFonts w:ascii="Rotis" w:hAnsi="Rotis" w:cs="Tahoma"/>
        </w:rPr>
        <w:t>, Beach-Varianten, Flag-Football</w:t>
      </w:r>
      <w:r w:rsidR="00B84CE2" w:rsidRPr="00720172">
        <w:rPr>
          <w:rFonts w:ascii="Rotis" w:hAnsi="Rotis" w:cs="Tahoma"/>
          <w:b/>
          <w:bCs/>
        </w:rPr>
        <w:t xml:space="preserve">, </w:t>
      </w:r>
      <w:r w:rsidR="00B84CE2" w:rsidRPr="00720172">
        <w:rPr>
          <w:rFonts w:ascii="Rotis" w:hAnsi="Rotis" w:cs="Tahoma"/>
        </w:rPr>
        <w:t>Rugby, Baseball/Softball, Frisbee, usw.</w:t>
      </w:r>
    </w:p>
    <w:p w:rsidR="00CB043B" w:rsidRPr="00720172" w:rsidRDefault="00CB043B" w:rsidP="00B84CE2">
      <w:pPr>
        <w:autoSpaceDE w:val="0"/>
        <w:autoSpaceDN w:val="0"/>
        <w:adjustRightInd w:val="0"/>
        <w:ind w:left="1080"/>
        <w:rPr>
          <w:rFonts w:ascii="Rotis" w:hAnsi="Rotis" w:cs="Tahoma"/>
          <w:b/>
          <w:bCs/>
        </w:rPr>
      </w:pPr>
    </w:p>
    <w:p w:rsidR="00CB043B" w:rsidRPr="00720172" w:rsidRDefault="00CB043B" w:rsidP="00CB043B">
      <w:pPr>
        <w:autoSpaceDE w:val="0"/>
        <w:autoSpaceDN w:val="0"/>
        <w:adjustRightInd w:val="0"/>
        <w:rPr>
          <w:rFonts w:ascii="Rotis" w:hAnsi="Rotis" w:cs="Tahoma"/>
          <w:b/>
          <w:bCs/>
        </w:rPr>
      </w:pPr>
    </w:p>
    <w:p w:rsidR="00CB043B" w:rsidRPr="00720172" w:rsidRDefault="00B84CE2" w:rsidP="00B84CE2">
      <w:pPr>
        <w:numPr>
          <w:ilvl w:val="0"/>
          <w:numId w:val="2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720172">
        <w:rPr>
          <w:rFonts w:ascii="Rotis" w:hAnsi="Rotis" w:cs="Tahoma"/>
          <w:bCs/>
          <w:i/>
        </w:rPr>
        <w:t xml:space="preserve">  Laufen, Springen, Werfen – </w:t>
      </w:r>
      <w:r w:rsidRPr="00720172">
        <w:rPr>
          <w:rFonts w:ascii="Rotis" w:hAnsi="Rotis" w:cs="Tahoma"/>
          <w:b/>
          <w:bCs/>
          <w:i/>
        </w:rPr>
        <w:t>Leichtathletik</w:t>
      </w:r>
      <w:r w:rsidRPr="00720172">
        <w:rPr>
          <w:rFonts w:ascii="Rotis" w:hAnsi="Rotis" w:cs="Tahoma"/>
          <w:bCs/>
          <w:i/>
        </w:rPr>
        <w:t xml:space="preserve"> (Inhaltsbereich 3)</w:t>
      </w:r>
    </w:p>
    <w:p w:rsidR="00CB043B" w:rsidRPr="00720172" w:rsidRDefault="00CB043B" w:rsidP="00B9299D">
      <w:pPr>
        <w:autoSpaceDE w:val="0"/>
        <w:autoSpaceDN w:val="0"/>
        <w:adjustRightInd w:val="0"/>
        <w:ind w:left="1440" w:firstLine="360"/>
        <w:rPr>
          <w:rFonts w:ascii="Rotis" w:hAnsi="Rotis" w:cs="Tahoma"/>
        </w:rPr>
      </w:pPr>
      <w:r w:rsidRPr="00720172">
        <w:rPr>
          <w:rFonts w:ascii="Rotis" w:hAnsi="Rotis" w:cs="Tahoma"/>
          <w:bCs/>
        </w:rPr>
        <w:t xml:space="preserve">Verbindlich: </w:t>
      </w:r>
    </w:p>
    <w:p w:rsidR="00B84CE2" w:rsidRPr="00720172" w:rsidRDefault="00B84CE2" w:rsidP="00B84CE2">
      <w:pPr>
        <w:numPr>
          <w:ilvl w:val="2"/>
          <w:numId w:val="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720172">
        <w:rPr>
          <w:rFonts w:ascii="Rotis" w:hAnsi="Rotis" w:cs="Tahoma"/>
        </w:rPr>
        <w:t xml:space="preserve">ausgewählte leichtathletische Disziplinen, </w:t>
      </w:r>
    </w:p>
    <w:p w:rsidR="00B84CE2" w:rsidRPr="00720172" w:rsidRDefault="00B84CE2" w:rsidP="00B84CE2">
      <w:pPr>
        <w:numPr>
          <w:ilvl w:val="2"/>
          <w:numId w:val="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720172">
        <w:rPr>
          <w:rFonts w:ascii="Rotis" w:hAnsi="Rotis" w:cs="Tahoma"/>
        </w:rPr>
        <w:t xml:space="preserve">Ausdauerlaufen (z.B. Jogging, Powerwalking, Fahrtenspiele), </w:t>
      </w:r>
      <w:r w:rsidRPr="00720172">
        <w:rPr>
          <w:rFonts w:ascii="Rotis" w:hAnsi="Rotis" w:cs="Tahoma"/>
        </w:rPr>
        <w:tab/>
      </w:r>
    </w:p>
    <w:p w:rsidR="00B84CE2" w:rsidRPr="00720172" w:rsidRDefault="00B84CE2" w:rsidP="00B84CE2">
      <w:pPr>
        <w:numPr>
          <w:ilvl w:val="2"/>
          <w:numId w:val="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720172">
        <w:rPr>
          <w:rFonts w:ascii="Rotis" w:hAnsi="Rotis" w:cs="Tahoma"/>
        </w:rPr>
        <w:t xml:space="preserve">leichtathletische Mehrkämpfe unter Berücksichtigung von Sprint, Mittel-/Langstrecke, Sprung, Wurf/Stoß, </w:t>
      </w:r>
    </w:p>
    <w:p w:rsidR="00720172" w:rsidRPr="00720172" w:rsidRDefault="00B84CE2" w:rsidP="00720172">
      <w:pPr>
        <w:numPr>
          <w:ilvl w:val="2"/>
          <w:numId w:val="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720172">
        <w:rPr>
          <w:rFonts w:ascii="Rotis" w:hAnsi="Rotis" w:cs="Tahoma"/>
        </w:rPr>
        <w:t>Laufen, Springen, Werfen mit veränderten und selbst gewählten unterschiedlichen Sinnrichtungen sowie Ziel- und Aufgabenstellungen - auch als Spielform oder Mannschaftswettbewer</w:t>
      </w:r>
      <w:r w:rsidR="00720172" w:rsidRPr="00720172">
        <w:rPr>
          <w:rFonts w:ascii="Rotis" w:hAnsi="Rotis" w:cs="Tahoma"/>
        </w:rPr>
        <w:t>b</w:t>
      </w:r>
    </w:p>
    <w:p w:rsidR="00720172" w:rsidRPr="00720172" w:rsidRDefault="00720172" w:rsidP="00720172">
      <w:pPr>
        <w:autoSpaceDE w:val="0"/>
        <w:autoSpaceDN w:val="0"/>
        <w:adjustRightInd w:val="0"/>
        <w:ind w:left="2160"/>
        <w:rPr>
          <w:rFonts w:ascii="Rotis" w:hAnsi="Rotis" w:cs="Tahoma"/>
          <w:b/>
          <w:sz w:val="28"/>
          <w:szCs w:val="28"/>
        </w:rPr>
      </w:pPr>
    </w:p>
    <w:p w:rsidR="00CB043B" w:rsidRPr="00A33AB0" w:rsidRDefault="00CB043B" w:rsidP="00CB043B">
      <w:pPr>
        <w:ind w:left="1800"/>
        <w:rPr>
          <w:rFonts w:ascii="Rotis" w:hAnsi="Rotis" w:cs="Tahoma"/>
          <w:b/>
          <w:sz w:val="22"/>
          <w:szCs w:val="22"/>
        </w:rPr>
      </w:pPr>
      <w:bookmarkStart w:id="0" w:name="_GoBack"/>
      <w:bookmarkEnd w:id="0"/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4034"/>
      </w:tblGrid>
      <w:tr w:rsidR="00CB043B" w:rsidRPr="00720172">
        <w:tc>
          <w:tcPr>
            <w:tcW w:w="2905" w:type="dxa"/>
            <w:shd w:val="pct30" w:color="auto" w:fill="auto"/>
          </w:tcPr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  <w:u w:val="single"/>
              </w:rPr>
              <w:t>Pädagogische Perspektiven: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 xml:space="preserve">- </w:t>
            </w: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zwei sind profilbildend und   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  somit in jedem Kurshalbjahr  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  zu berücksichtigen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- alle weiteren sind in der 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 Qualifikationsphase zu </w:t>
            </w: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 berücksichtigen  </w:t>
            </w:r>
          </w:p>
        </w:tc>
        <w:tc>
          <w:tcPr>
            <w:tcW w:w="3337" w:type="dxa"/>
            <w:shd w:val="pct30" w:color="auto" w:fill="auto"/>
          </w:tcPr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  <w:u w:val="single"/>
              </w:rPr>
              <w:t>Grundlegende und profilbildende Bewegungsfelder: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- mindestens 2 sind obligatorisch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- beide sind in jedem Kurshalbjahr </w:t>
            </w: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  zu berücksichtigen.</w:t>
            </w:r>
          </w:p>
        </w:tc>
        <w:tc>
          <w:tcPr>
            <w:tcW w:w="4034" w:type="dxa"/>
            <w:shd w:val="pct30" w:color="auto" w:fill="auto"/>
          </w:tcPr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  <w:u w:val="single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  <w:u w:val="single"/>
              </w:rPr>
              <w:t>Mögliche Unterrichtsvorhaben: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- 3 in QI.1 und 3 in QI.2 sind verbindlich</w:t>
            </w: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- ca. 12-15 Std. je Unterrichtsvorhaben</w:t>
            </w:r>
          </w:p>
        </w:tc>
      </w:tr>
      <w:tr w:rsidR="00CB043B" w:rsidRPr="00720172">
        <w:tc>
          <w:tcPr>
            <w:tcW w:w="10276" w:type="dxa"/>
            <w:gridSpan w:val="3"/>
            <w:shd w:val="pct30" w:color="auto" w:fill="auto"/>
          </w:tcPr>
          <w:p w:rsidR="00CB043B" w:rsidRPr="00720172" w:rsidRDefault="00CB043B" w:rsidP="00B9299D">
            <w:pPr>
              <w:jc w:val="center"/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Qualifikationsphase I.1</w:t>
            </w:r>
          </w:p>
        </w:tc>
      </w:tr>
      <w:tr w:rsidR="00CB043B" w:rsidRPr="00720172">
        <w:tc>
          <w:tcPr>
            <w:tcW w:w="2905" w:type="dxa"/>
            <w:shd w:val="pct30" w:color="auto" w:fill="auto"/>
          </w:tcPr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Das Leisten erfahren, </w:t>
            </w:r>
          </w:p>
          <w:p w:rsidR="00CB043B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verstehen und einschätzen (D)</w:t>
            </w:r>
          </w:p>
        </w:tc>
        <w:tc>
          <w:tcPr>
            <w:tcW w:w="3337" w:type="dxa"/>
          </w:tcPr>
          <w:p w:rsidR="00B84CE2" w:rsidRPr="00720172" w:rsidRDefault="00B84CE2" w:rsidP="00CB043B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Thematisierung der zentralen Spielidee des Basketballspiels „Körbe erzielen – Körbe verhindern“,</w:t>
            </w: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kriteriengeleitete Spielbeobachtung und Auswertung, gegenseitige Einschätzung der individuellen Spielfähigkeit,</w:t>
            </w: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Veränderung der Spiel- und Regelstrukturen zur Verbesserung der Spielfähigkeit</w:t>
            </w:r>
          </w:p>
          <w:p w:rsidR="00CB043B" w:rsidRPr="00720172" w:rsidRDefault="00B84CE2" w:rsidP="00CB043B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(Inhaltsbereich 7).</w:t>
            </w:r>
          </w:p>
        </w:tc>
        <w:tc>
          <w:tcPr>
            <w:tcW w:w="4034" w:type="dxa"/>
          </w:tcPr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>“Das Basketballspiel erproben, reflektieren und variieren“</w:t>
            </w:r>
            <w:r w:rsidRPr="00720172">
              <w:rPr>
                <w:rFonts w:ascii="Rotis" w:hAnsi="Rotis" w:cs="Tahoma"/>
                <w:sz w:val="22"/>
                <w:szCs w:val="22"/>
              </w:rPr>
              <w:t xml:space="preserve"> </w:t>
            </w: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</w:p>
        </w:tc>
      </w:tr>
      <w:tr w:rsidR="00CB043B" w:rsidRPr="00720172">
        <w:tc>
          <w:tcPr>
            <w:tcW w:w="2905" w:type="dxa"/>
            <w:shd w:val="pct30" w:color="auto" w:fill="auto"/>
          </w:tcPr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Kooperieren, wettkämpfen und sich verständigen </w:t>
            </w:r>
          </w:p>
          <w:p w:rsidR="00CB043B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(E)</w:t>
            </w:r>
          </w:p>
        </w:tc>
        <w:tc>
          <w:tcPr>
            <w:tcW w:w="3337" w:type="dxa"/>
          </w:tcPr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 xml:space="preserve">Entwicklung und Erprobung konkurrenz- und kooperationsorientierter Spiele und Spielvarianten unter </w:t>
            </w:r>
            <w:r w:rsidRPr="00720172">
              <w:rPr>
                <w:rFonts w:ascii="Rotis" w:hAnsi="Rotis" w:cs="Tahoma"/>
                <w:sz w:val="22"/>
                <w:szCs w:val="22"/>
              </w:rPr>
              <w:lastRenderedPageBreak/>
              <w:t>Berücksichtigung der zentralen Spielidee des Basketballs (Inhaltsbereich 7).</w:t>
            </w: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</w:tc>
        <w:tc>
          <w:tcPr>
            <w:tcW w:w="4034" w:type="dxa"/>
          </w:tcPr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>“Spiele erproben, reflektieren und variieren“</w:t>
            </w:r>
            <w:r w:rsidRPr="00720172">
              <w:rPr>
                <w:rFonts w:ascii="Rotis" w:hAnsi="Rotis" w:cs="Tahoma"/>
                <w:sz w:val="22"/>
                <w:szCs w:val="22"/>
              </w:rPr>
              <w:t xml:space="preserve"> </w:t>
            </w:r>
          </w:p>
          <w:p w:rsidR="00CB043B" w:rsidRPr="00720172" w:rsidRDefault="00CB043B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</w:tc>
      </w:tr>
      <w:tr w:rsidR="00CB043B" w:rsidRPr="00720172">
        <w:tc>
          <w:tcPr>
            <w:tcW w:w="2905" w:type="dxa"/>
            <w:shd w:val="pct30" w:color="auto" w:fill="auto"/>
          </w:tcPr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Gesundheit fördern, </w:t>
            </w: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Gesundheitsbewusstsein entwickeln </w:t>
            </w: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(F)</w:t>
            </w: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CB043B" w:rsidRPr="00720172" w:rsidRDefault="00CB043B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</w:tc>
        <w:tc>
          <w:tcPr>
            <w:tcW w:w="3337" w:type="dxa"/>
          </w:tcPr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Laufen nach unterschiedlichen Sinnrichtungen sowie Ziel- und Aufgabenstellungen erfahren und erproben (entspannt, erlebnisbezogen, auf ein gesundheitsbezogenes Trainingsziel ausgerichtet, pulsfrequenzorientiertes Ausdauertraining);</w:t>
            </w: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Prinzipien und Methoden des (Ausdauer-)Trainings kennen lernen und durchführen.</w:t>
            </w:r>
          </w:p>
          <w:p w:rsidR="00CB043B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(Inhaltsbereich 3)</w:t>
            </w:r>
          </w:p>
        </w:tc>
        <w:tc>
          <w:tcPr>
            <w:tcW w:w="4034" w:type="dxa"/>
          </w:tcPr>
          <w:p w:rsidR="00B84CE2" w:rsidRPr="00720172" w:rsidRDefault="00CB043B" w:rsidP="00CB043B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 xml:space="preserve"> </w:t>
            </w: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>“Ausdauer verbessern  – Laufen unter verschiedenen Sinnrichtungen erfahren“</w:t>
            </w:r>
          </w:p>
          <w:p w:rsidR="00CB043B" w:rsidRPr="00720172" w:rsidRDefault="00CB043B" w:rsidP="00CB043B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</w:p>
          <w:p w:rsidR="00CB043B" w:rsidRPr="00720172" w:rsidRDefault="00CB043B" w:rsidP="00B9299D">
            <w:pPr>
              <w:rPr>
                <w:rFonts w:ascii="Rotis" w:hAnsi="Rotis" w:cs="Tahoma"/>
                <w:sz w:val="22"/>
                <w:szCs w:val="22"/>
              </w:rPr>
            </w:pPr>
          </w:p>
        </w:tc>
      </w:tr>
      <w:tr w:rsidR="00CB043B" w:rsidRPr="00720172">
        <w:tc>
          <w:tcPr>
            <w:tcW w:w="10276" w:type="dxa"/>
            <w:gridSpan w:val="3"/>
            <w:shd w:val="pct30" w:color="auto" w:fill="auto"/>
          </w:tcPr>
          <w:p w:rsidR="00CB043B" w:rsidRPr="00720172" w:rsidRDefault="00CB043B" w:rsidP="00B9299D">
            <w:pPr>
              <w:jc w:val="center"/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Qualifikationsphase I.2</w:t>
            </w:r>
          </w:p>
        </w:tc>
      </w:tr>
      <w:tr w:rsidR="00CB043B" w:rsidRPr="00720172">
        <w:tc>
          <w:tcPr>
            <w:tcW w:w="2905" w:type="dxa"/>
            <w:shd w:val="pct30" w:color="auto" w:fill="auto"/>
          </w:tcPr>
          <w:p w:rsidR="00B84CE2" w:rsidRPr="00720172" w:rsidRDefault="00B84CE2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Das Leisten erfahren, </w:t>
            </w:r>
          </w:p>
          <w:p w:rsidR="00CB043B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verstehen und einschätzen (D)</w:t>
            </w:r>
          </w:p>
        </w:tc>
        <w:tc>
          <w:tcPr>
            <w:tcW w:w="3337" w:type="dxa"/>
          </w:tcPr>
          <w:p w:rsidR="00B84CE2" w:rsidRPr="00720172" w:rsidRDefault="00B84CE2" w:rsidP="00B9299D">
            <w:pPr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Planung, Vorbereitung und Durchführung eines  leichtathletischen Dreikampfes</w:t>
            </w:r>
          </w:p>
          <w:p w:rsidR="00B84CE2" w:rsidRPr="00720172" w:rsidRDefault="00B84CE2" w:rsidP="00B84C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Sprint</w:t>
            </w:r>
          </w:p>
          <w:p w:rsidR="00B84CE2" w:rsidRPr="00720172" w:rsidRDefault="00B84CE2" w:rsidP="00B84C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Sprung</w:t>
            </w:r>
          </w:p>
          <w:p w:rsidR="00B84CE2" w:rsidRPr="00720172" w:rsidRDefault="00B84CE2" w:rsidP="00B84C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 xml:space="preserve">Ausdauerleistung </w:t>
            </w:r>
          </w:p>
          <w:p w:rsidR="00CB043B" w:rsidRPr="00720172" w:rsidRDefault="00B84CE2" w:rsidP="00B84CE2">
            <w:pPr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 xml:space="preserve"> (Inhaltsbereich 3)</w:t>
            </w:r>
          </w:p>
        </w:tc>
        <w:tc>
          <w:tcPr>
            <w:tcW w:w="4034" w:type="dxa"/>
          </w:tcPr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i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sz w:val="22"/>
                <w:szCs w:val="22"/>
              </w:rPr>
              <w:t>Individuelle Leistungsverbesserung –  Vorbereitung und Durchführung eines leichtathletischen Mehrkampfes.</w:t>
            </w: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</w:p>
          <w:p w:rsidR="00CB043B" w:rsidRPr="00720172" w:rsidRDefault="00CB043B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</w:tc>
      </w:tr>
      <w:tr w:rsidR="00CB043B" w:rsidRPr="00720172">
        <w:tc>
          <w:tcPr>
            <w:tcW w:w="2905" w:type="dxa"/>
            <w:shd w:val="pct30" w:color="auto" w:fill="auto"/>
          </w:tcPr>
          <w:p w:rsidR="00B84CE2" w:rsidRPr="00720172" w:rsidRDefault="00B84CE2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Kooperieren, wettkämpfen und sich verständigen </w:t>
            </w:r>
          </w:p>
          <w:p w:rsidR="00CB043B" w:rsidRPr="00720172" w:rsidRDefault="00B84CE2" w:rsidP="00B84CE2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(E)</w:t>
            </w: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CB043B" w:rsidRPr="00720172" w:rsidRDefault="00CB043B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</w:tc>
        <w:tc>
          <w:tcPr>
            <w:tcW w:w="3337" w:type="dxa"/>
          </w:tcPr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Erlernen und Festigen technischer Grundfertigkeiten des Basketballspiels sowie erster Individualtaktiken in Angriff und Abwehr</w:t>
            </w:r>
          </w:p>
          <w:p w:rsidR="00CB043B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(Inhaltsbereich 7)</w:t>
            </w:r>
          </w:p>
        </w:tc>
        <w:tc>
          <w:tcPr>
            <w:tcW w:w="4034" w:type="dxa"/>
          </w:tcPr>
          <w:p w:rsidR="00B84CE2" w:rsidRPr="00720172" w:rsidRDefault="00B84CE2" w:rsidP="00CB043B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84CE2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 xml:space="preserve">“Planung und Durchführung von Übungsfolgen zur Verbesserung des individuellen Verhaltens in Angriffs- und Abwehrsituationen“ </w:t>
            </w:r>
          </w:p>
          <w:p w:rsidR="00CB043B" w:rsidRPr="00720172" w:rsidRDefault="00CB043B" w:rsidP="00CB043B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</w:tc>
      </w:tr>
      <w:tr w:rsidR="00B84CE2" w:rsidRPr="00720172">
        <w:tc>
          <w:tcPr>
            <w:tcW w:w="2905" w:type="dxa"/>
            <w:shd w:val="pct30" w:color="auto" w:fill="auto"/>
          </w:tcPr>
          <w:p w:rsidR="00B84CE2" w:rsidRPr="00720172" w:rsidRDefault="00B84CE2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</w:p>
          <w:p w:rsidR="00B84CE2" w:rsidRPr="00720172" w:rsidRDefault="00B84CE2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 xml:space="preserve">Die Wahrnehmungsfähigkeit verbessern, </w:t>
            </w:r>
          </w:p>
          <w:p w:rsidR="00B84CE2" w:rsidRPr="00720172" w:rsidRDefault="00B84CE2" w:rsidP="00B9299D">
            <w:pPr>
              <w:rPr>
                <w:rFonts w:ascii="Rotis" w:hAnsi="Rotis" w:cs="Tahoma"/>
                <w:b/>
                <w:sz w:val="22"/>
                <w:szCs w:val="22"/>
              </w:rPr>
            </w:pPr>
            <w:r w:rsidRPr="00720172">
              <w:rPr>
                <w:rFonts w:ascii="Rotis" w:hAnsi="Rotis" w:cs="Tahoma"/>
                <w:b/>
                <w:sz w:val="22"/>
                <w:szCs w:val="22"/>
              </w:rPr>
              <w:t>Bewegungserfahrungen erweitern (A)</w:t>
            </w:r>
          </w:p>
        </w:tc>
        <w:tc>
          <w:tcPr>
            <w:tcW w:w="3337" w:type="dxa"/>
          </w:tcPr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Kraft und Beweglichkeit als Voraussetzung für die körperliche Leistungsfähigkeit differenziert verstehen und einschätzen lernen sowie Grundsätze des Kraft- und Ausdauertrainings kennen und anwenden</w:t>
            </w:r>
          </w:p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  <w:r w:rsidRPr="00720172">
              <w:rPr>
                <w:rFonts w:ascii="Rotis" w:hAnsi="Rotis" w:cs="Tahoma"/>
                <w:sz w:val="22"/>
                <w:szCs w:val="22"/>
              </w:rPr>
              <w:t>(Inhaltsbereich 7)</w:t>
            </w:r>
          </w:p>
        </w:tc>
        <w:tc>
          <w:tcPr>
            <w:tcW w:w="4034" w:type="dxa"/>
          </w:tcPr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</w:p>
          <w:p w:rsidR="00B84CE2" w:rsidRPr="00720172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2"/>
                <w:szCs w:val="22"/>
              </w:rPr>
            </w:pPr>
            <w:r w:rsidRPr="00720172">
              <w:rPr>
                <w:rFonts w:ascii="Rotis" w:hAnsi="Rotis" w:cs="Tahoma"/>
                <w:i/>
                <w:iCs/>
                <w:sz w:val="22"/>
                <w:szCs w:val="22"/>
              </w:rPr>
              <w:t>“Vielfältige Spiel- und Übungsformen zur allgemeinen Verbesserung von Kraft und Beweglichkeit.“</w:t>
            </w:r>
          </w:p>
          <w:p w:rsidR="00B84CE2" w:rsidRPr="00720172" w:rsidRDefault="00B84CE2" w:rsidP="00B9299D">
            <w:pPr>
              <w:rPr>
                <w:rFonts w:ascii="Rotis" w:hAnsi="Rotis" w:cs="Tahoma"/>
                <w:sz w:val="22"/>
                <w:szCs w:val="22"/>
              </w:rPr>
            </w:pPr>
          </w:p>
        </w:tc>
      </w:tr>
    </w:tbl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720172" w:rsidRDefault="00720172" w:rsidP="00CB043B">
      <w:pPr>
        <w:rPr>
          <w:rFonts w:ascii="Rotis" w:hAnsi="Rotis"/>
        </w:rPr>
      </w:pPr>
    </w:p>
    <w:p w:rsidR="00CB043B" w:rsidRPr="00A33AB0" w:rsidRDefault="00CB043B" w:rsidP="00CB043B">
      <w:pPr>
        <w:rPr>
          <w:rFonts w:ascii="Rotis" w:hAnsi="Rotis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4034"/>
      </w:tblGrid>
      <w:tr w:rsidR="00CB043B" w:rsidRPr="00A33AB0">
        <w:tc>
          <w:tcPr>
            <w:tcW w:w="2905" w:type="dxa"/>
            <w:shd w:val="pct30" w:color="auto" w:fill="auto"/>
          </w:tcPr>
          <w:p w:rsidR="00CB043B" w:rsidRPr="00101461" w:rsidRDefault="00CB043B" w:rsidP="00B9299D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u w:val="single"/>
              </w:rPr>
              <w:lastRenderedPageBreak/>
              <w:t>Pädagogische Perspektiven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sz w:val="20"/>
                <w:szCs w:val="18"/>
              </w:rPr>
              <w:t xml:space="preserve">-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</w:p>
          <w:p w:rsidR="00CB043B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somit in jedem Kurshalbjahr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</w:p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zu berücksichtigen</w:t>
            </w:r>
          </w:p>
          <w:p w:rsidR="00CB043B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alle weiteren sind in der </w:t>
            </w:r>
          </w:p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Qualifikationsphase zu </w:t>
            </w:r>
          </w:p>
          <w:p w:rsidR="00CB043B" w:rsidRPr="00101461" w:rsidRDefault="00CB043B" w:rsidP="00B9299D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berücksichtigen</w:t>
            </w:r>
            <w:r w:rsidRPr="00101461"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7" w:type="dxa"/>
            <w:shd w:val="pct30" w:color="auto" w:fill="auto"/>
          </w:tcPr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G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rundlegende und profilbildende Bewegungsfelder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- beide sind in jedem Kurshalbjahr </w:t>
            </w:r>
          </w:p>
          <w:p w:rsidR="00CB043B" w:rsidRPr="00101461" w:rsidRDefault="00CB043B" w:rsidP="00B9299D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4034" w:type="dxa"/>
            <w:shd w:val="pct30" w:color="auto" w:fill="auto"/>
          </w:tcPr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M</w:t>
            </w:r>
            <w:r w:rsidRPr="00101461">
              <w:rPr>
                <w:rFonts w:ascii="Rotis" w:hAnsi="Rotis" w:cs="Tahoma"/>
                <w:b/>
                <w:sz w:val="20"/>
                <w:u w:val="single"/>
              </w:rPr>
              <w:t>ögliche Unterrichtsvorhaben</w:t>
            </w:r>
            <w:r>
              <w:rPr>
                <w:rFonts w:ascii="Rotis" w:hAnsi="Rotis" w:cs="Tahoma"/>
                <w:b/>
                <w:sz w:val="20"/>
                <w:u w:val="single"/>
              </w:rPr>
              <w:t>:</w:t>
            </w:r>
          </w:p>
          <w:p w:rsidR="00CB043B" w:rsidRPr="00101461" w:rsidRDefault="00CB043B" w:rsidP="00B9299D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- 3 in QII.1 und 2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 xml:space="preserve"> in QI</w:t>
            </w:r>
            <w:r>
              <w:rPr>
                <w:rFonts w:ascii="Rotis" w:hAnsi="Rotis" w:cs="Tahoma"/>
                <w:b/>
                <w:sz w:val="20"/>
                <w:szCs w:val="18"/>
              </w:rPr>
              <w:t>I</w:t>
            </w:r>
            <w:r w:rsidRPr="00101461">
              <w:rPr>
                <w:rFonts w:ascii="Rotis" w:hAnsi="Rotis" w:cs="Tahoma"/>
                <w:b/>
                <w:sz w:val="20"/>
                <w:szCs w:val="18"/>
              </w:rPr>
              <w:t>.2 sind verbindlich</w:t>
            </w:r>
          </w:p>
          <w:p w:rsidR="00CB043B" w:rsidRPr="00101461" w:rsidRDefault="00CB043B" w:rsidP="00B9299D">
            <w:pPr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w:rsidR="00CB043B" w:rsidRPr="00A33AB0">
        <w:tc>
          <w:tcPr>
            <w:tcW w:w="10276" w:type="dxa"/>
            <w:gridSpan w:val="3"/>
            <w:shd w:val="pct30" w:color="auto" w:fill="auto"/>
          </w:tcPr>
          <w:p w:rsidR="00CB043B" w:rsidRPr="00A33AB0" w:rsidRDefault="00CB043B" w:rsidP="00CB043B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                                                                 </w:t>
            </w:r>
            <w:r w:rsidRPr="00A33AB0">
              <w:rPr>
                <w:rFonts w:ascii="Rotis" w:hAnsi="Rotis" w:cs="Tahoma"/>
                <w:b/>
                <w:sz w:val="20"/>
              </w:rPr>
              <w:t>Qualifikationsphase II.1</w:t>
            </w:r>
          </w:p>
        </w:tc>
      </w:tr>
      <w:tr w:rsidR="00CB043B" w:rsidRPr="00A33AB0">
        <w:tc>
          <w:tcPr>
            <w:tcW w:w="2905" w:type="dxa"/>
            <w:shd w:val="pct30" w:color="auto" w:fill="auto"/>
          </w:tcPr>
          <w:p w:rsidR="00CB043B" w:rsidRDefault="00CB043B" w:rsidP="00B9299D">
            <w:pPr>
              <w:rPr>
                <w:rFonts w:ascii="Rotis" w:hAnsi="Rotis" w:cs="Tahoma"/>
                <w:b/>
                <w:sz w:val="20"/>
              </w:rPr>
            </w:pPr>
          </w:p>
          <w:p w:rsidR="00B84CE2" w:rsidRPr="00A33AB0" w:rsidRDefault="00B84CE2" w:rsidP="00B84CE2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CB043B" w:rsidRPr="00A33AB0" w:rsidRDefault="00B84CE2" w:rsidP="00B84CE2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CB043B" w:rsidRDefault="00CB043B" w:rsidP="00B9299D">
            <w:pPr>
              <w:rPr>
                <w:rFonts w:ascii="Rotis" w:hAnsi="Rotis" w:cs="Tahoma"/>
                <w:sz w:val="20"/>
              </w:rPr>
            </w:pPr>
          </w:p>
          <w:p w:rsidR="00B84CE2" w:rsidRPr="00A33AB0" w:rsidRDefault="00B84CE2" w:rsidP="00B84CE2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Vorbereitung eines leichtathletischen Fünfkampfes unter Hinzunahme weiterer Disziplinen</w:t>
            </w:r>
          </w:p>
          <w:p w:rsidR="00B84CE2" w:rsidRPr="00A33AB0" w:rsidRDefault="00B84CE2" w:rsidP="00B84C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Wurf / Stoß (z.B. Speer, Diskus, Kugel)</w:t>
            </w:r>
          </w:p>
          <w:p w:rsidR="00B84CE2" w:rsidRPr="00A33AB0" w:rsidRDefault="00B84CE2" w:rsidP="00B84C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 xml:space="preserve">Hindernislauf </w:t>
            </w:r>
          </w:p>
          <w:p w:rsidR="00CB043B" w:rsidRDefault="00B84CE2" w:rsidP="00B84CE2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 xml:space="preserve"> (Inhaltsbereich 3)</w:t>
            </w:r>
          </w:p>
          <w:p w:rsidR="00CB043B" w:rsidRDefault="00CB043B" w:rsidP="00B9299D">
            <w:pPr>
              <w:rPr>
                <w:rFonts w:ascii="Rotis" w:hAnsi="Rotis" w:cs="Tahoma"/>
                <w:sz w:val="20"/>
              </w:rPr>
            </w:pPr>
          </w:p>
          <w:p w:rsidR="00CB043B" w:rsidRDefault="00CB043B" w:rsidP="00B9299D">
            <w:pPr>
              <w:rPr>
                <w:rFonts w:ascii="Rotis" w:hAnsi="Rotis" w:cs="Tahoma"/>
                <w:sz w:val="20"/>
              </w:rPr>
            </w:pPr>
          </w:p>
          <w:p w:rsidR="00CB043B" w:rsidRPr="00A33AB0" w:rsidRDefault="00CB043B" w:rsidP="00B9299D">
            <w:pPr>
              <w:rPr>
                <w:rFonts w:ascii="Rotis" w:hAnsi="Rotis" w:cs="Tahoma"/>
                <w:sz w:val="20"/>
              </w:rPr>
            </w:pPr>
          </w:p>
        </w:tc>
        <w:tc>
          <w:tcPr>
            <w:tcW w:w="4034" w:type="dxa"/>
          </w:tcPr>
          <w:p w:rsidR="00CB043B" w:rsidRPr="00A33AB0" w:rsidRDefault="00CB043B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CB043B" w:rsidRPr="00A33AB0" w:rsidRDefault="00B84CE2" w:rsidP="00B9299D">
            <w:pPr>
              <w:rPr>
                <w:rFonts w:ascii="Rotis" w:hAnsi="Rotis" w:cs="Tahoma"/>
                <w:i/>
                <w:iCs/>
                <w:sz w:val="20"/>
              </w:rPr>
            </w:pPr>
            <w:r w:rsidRPr="00A33AB0">
              <w:rPr>
                <w:rFonts w:ascii="Rotis" w:hAnsi="Rotis" w:cs="Tahoma"/>
                <w:i/>
                <w:sz w:val="20"/>
              </w:rPr>
              <w:t>Individuelle Leistungsverbesserung – gezielte Vorbereitung und Durchführung eines leichtathletischen Mehrkampfes</w:t>
            </w:r>
          </w:p>
          <w:p w:rsidR="00CB043B" w:rsidRPr="00A33AB0" w:rsidRDefault="00CB043B" w:rsidP="00B9299D">
            <w:pPr>
              <w:rPr>
                <w:rFonts w:ascii="Rotis" w:hAnsi="Rotis" w:cs="Tahoma"/>
                <w:sz w:val="20"/>
              </w:rPr>
            </w:pPr>
          </w:p>
        </w:tc>
      </w:tr>
      <w:tr w:rsidR="00B84CE2" w:rsidRPr="00A33AB0">
        <w:tc>
          <w:tcPr>
            <w:tcW w:w="2905" w:type="dxa"/>
            <w:shd w:val="pct30" w:color="auto" w:fill="auto"/>
          </w:tcPr>
          <w:p w:rsidR="00B84CE2" w:rsidRPr="00101461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</w:rPr>
              <w:t xml:space="preserve">Kooperieren, wettkämpfen und sich verständigen </w:t>
            </w:r>
          </w:p>
          <w:p w:rsidR="00B84CE2" w:rsidRPr="00101461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sz w:val="20"/>
              </w:rPr>
              <w:t>Erlernen und Festigen technischer Grundfertigkeiten des Basketballspiels sowie erster Individualtaktiken in Angriff und Abwehr</w:t>
            </w:r>
          </w:p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4034" w:type="dxa"/>
          </w:tcPr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101461">
              <w:rPr>
                <w:rFonts w:ascii="Rotis" w:hAnsi="Rotis" w:cs="Tahoma"/>
                <w:i/>
                <w:iCs/>
                <w:sz w:val="20"/>
              </w:rPr>
              <w:t xml:space="preserve">“Planung und Durchführung von Übungsfolgen zur Verbesserung des individuellen Verhaltens in Angriffs- und Abwehrsituationen“ </w:t>
            </w:r>
          </w:p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</w:tr>
      <w:tr w:rsidR="00B84CE2" w:rsidRPr="00A33AB0">
        <w:tc>
          <w:tcPr>
            <w:tcW w:w="2905" w:type="dxa"/>
            <w:shd w:val="pct30" w:color="auto" w:fill="auto"/>
          </w:tcPr>
          <w:p w:rsidR="00B84CE2" w:rsidRDefault="00B84CE2" w:rsidP="00B9299D">
            <w:pPr>
              <w:rPr>
                <w:rFonts w:ascii="Rotis" w:hAnsi="Rotis" w:cs="Tahoma"/>
                <w:b/>
                <w:sz w:val="20"/>
              </w:rPr>
            </w:pPr>
          </w:p>
          <w:p w:rsidR="00B84CE2" w:rsidRPr="00101461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Die Wahrnehmungsfähig</w:t>
            </w:r>
            <w:r w:rsidRPr="00101461">
              <w:rPr>
                <w:rFonts w:ascii="Rotis" w:hAnsi="Rotis" w:cs="Tahoma"/>
                <w:b/>
                <w:sz w:val="20"/>
              </w:rPr>
              <w:t xml:space="preserve">keit verbessern, </w:t>
            </w:r>
          </w:p>
          <w:p w:rsidR="00B84CE2" w:rsidRPr="00101461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101461">
              <w:rPr>
                <w:rFonts w:ascii="Rotis" w:hAnsi="Rotis" w:cs="Tahoma"/>
                <w:b/>
                <w:sz w:val="20"/>
              </w:rPr>
              <w:t>Bewegungserfahrungen erweitern (A)</w:t>
            </w:r>
          </w:p>
        </w:tc>
        <w:tc>
          <w:tcPr>
            <w:tcW w:w="3337" w:type="dxa"/>
          </w:tcPr>
          <w:p w:rsidR="00B84CE2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sz w:val="20"/>
              </w:rPr>
              <w:t>Kraft und Beweglichkeit als Voraussetzung für die körperliche Leistungsfähigkeit differenziert verstehen und einschätzen lernen sowie Grundsätze des Kraft- und Ausdauertrainings kennen und anwenden</w:t>
            </w:r>
          </w:p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01461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4034" w:type="dxa"/>
          </w:tcPr>
          <w:p w:rsidR="00B84CE2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101461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101461">
              <w:rPr>
                <w:rFonts w:ascii="Rotis" w:hAnsi="Rotis" w:cs="Tahoma"/>
                <w:i/>
                <w:iCs/>
                <w:sz w:val="20"/>
              </w:rPr>
              <w:t>“Vielfältige Spiel- und Übungsformen zur allgemeinen Verbesserung von Kraft und Beweglichkeit.“</w:t>
            </w:r>
          </w:p>
          <w:p w:rsidR="00B84CE2" w:rsidRPr="00101461" w:rsidRDefault="00B84CE2" w:rsidP="00B9299D">
            <w:pPr>
              <w:rPr>
                <w:rFonts w:ascii="Rotis" w:hAnsi="Rotis" w:cs="Tahoma"/>
                <w:sz w:val="20"/>
              </w:rPr>
            </w:pPr>
          </w:p>
        </w:tc>
      </w:tr>
      <w:tr w:rsidR="00B84CE2" w:rsidRPr="00A33AB0">
        <w:tc>
          <w:tcPr>
            <w:tcW w:w="10276" w:type="dxa"/>
            <w:gridSpan w:val="3"/>
            <w:shd w:val="pct30" w:color="auto" w:fill="auto"/>
          </w:tcPr>
          <w:p w:rsidR="00B84CE2" w:rsidRPr="00A33AB0" w:rsidRDefault="00B84CE2" w:rsidP="00B9299D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>Qualifikationsphase II.2</w:t>
            </w:r>
          </w:p>
        </w:tc>
      </w:tr>
      <w:tr w:rsidR="00B84CE2" w:rsidRPr="00A33AB0">
        <w:tc>
          <w:tcPr>
            <w:tcW w:w="2905" w:type="dxa"/>
            <w:shd w:val="pct30" w:color="auto" w:fill="auto"/>
          </w:tcPr>
          <w:p w:rsidR="00B84CE2" w:rsidRDefault="00B84CE2" w:rsidP="00B9299D">
            <w:pPr>
              <w:rPr>
                <w:rFonts w:ascii="Rotis" w:hAnsi="Rotis" w:cs="Tahoma"/>
                <w:b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B84CE2" w:rsidRPr="00A33AB0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B84CE2" w:rsidRDefault="00B84CE2" w:rsidP="00B9299D">
            <w:pPr>
              <w:rPr>
                <w:rFonts w:ascii="Rotis" w:hAnsi="Rotis" w:cs="Tahoma"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Vorbereitung eines leichtathletischen Fünfkampfes unter Hinzunahme weiterer Disziplinen</w:t>
            </w:r>
          </w:p>
          <w:p w:rsidR="00B84CE2" w:rsidRPr="00A33AB0" w:rsidRDefault="00B84CE2" w:rsidP="00B9299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Wurf / Stoß (z.B. Speer, Diskus, Kugel)</w:t>
            </w:r>
          </w:p>
          <w:p w:rsidR="00B84CE2" w:rsidRPr="00A33AB0" w:rsidRDefault="00B84CE2" w:rsidP="00B9299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 xml:space="preserve">Hindernislauf </w:t>
            </w: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 xml:space="preserve"> (Inhaltsbereich 3)</w:t>
            </w:r>
          </w:p>
        </w:tc>
        <w:tc>
          <w:tcPr>
            <w:tcW w:w="4034" w:type="dxa"/>
          </w:tcPr>
          <w:p w:rsidR="00B84CE2" w:rsidRDefault="00B84CE2" w:rsidP="00B9299D">
            <w:pPr>
              <w:rPr>
                <w:rFonts w:ascii="Rotis" w:hAnsi="Rotis" w:cs="Tahoma"/>
                <w:i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i/>
                <w:sz w:val="20"/>
              </w:rPr>
            </w:pPr>
            <w:r w:rsidRPr="00A33AB0">
              <w:rPr>
                <w:rFonts w:ascii="Rotis" w:hAnsi="Rotis" w:cs="Tahoma"/>
                <w:i/>
                <w:sz w:val="20"/>
              </w:rPr>
              <w:t>Individuelle Leistungsverbesserung – gezielte Vorbereitung und Durchführung eines leichtathletischen Mehrkampfes.</w:t>
            </w:r>
          </w:p>
          <w:p w:rsidR="00B84CE2" w:rsidRPr="00A33AB0" w:rsidRDefault="00B84CE2" w:rsidP="00B9299D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</w:p>
        </w:tc>
      </w:tr>
      <w:tr w:rsidR="00B84CE2" w:rsidRPr="00A33AB0">
        <w:tc>
          <w:tcPr>
            <w:tcW w:w="2905" w:type="dxa"/>
            <w:shd w:val="pct30" w:color="auto" w:fill="auto"/>
          </w:tcPr>
          <w:p w:rsidR="00B84CE2" w:rsidRDefault="00B84CE2" w:rsidP="00B9299D">
            <w:pPr>
              <w:rPr>
                <w:rFonts w:ascii="Rotis" w:hAnsi="Rotis" w:cs="Tahoma"/>
                <w:b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 xml:space="preserve">Kooperieren, wettkämpfen und sich verständigen </w:t>
            </w:r>
          </w:p>
          <w:p w:rsidR="00B84CE2" w:rsidRPr="00A33AB0" w:rsidRDefault="00B84CE2" w:rsidP="00B9299D">
            <w:pPr>
              <w:rPr>
                <w:rFonts w:ascii="Rotis" w:hAnsi="Rotis" w:cs="Tahoma"/>
                <w:b/>
                <w:sz w:val="20"/>
              </w:rPr>
            </w:pPr>
            <w:r w:rsidRPr="00A33AB0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B84CE2" w:rsidRDefault="00B84CE2" w:rsidP="00B9299D">
            <w:pPr>
              <w:rPr>
                <w:rFonts w:ascii="Rotis" w:hAnsi="Rotis" w:cs="Tahoma"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Basketball: Allgemeine Taktiken in Angriff und Abwehr kennen lernen und festigen, über das Trainieren und Erlernen von Spielzügen von der Gruppen- zur situationsgerechten Mannschaftstaktik finden;</w:t>
            </w: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Spielen nach dem internationalen Regelwerk.</w:t>
            </w:r>
          </w:p>
          <w:p w:rsidR="00B84CE2" w:rsidRPr="00A33AB0" w:rsidRDefault="00B84CE2" w:rsidP="00B9299D">
            <w:pPr>
              <w:rPr>
                <w:rFonts w:ascii="Rotis" w:hAnsi="Rotis" w:cs="Tahoma"/>
                <w:sz w:val="20"/>
              </w:rPr>
            </w:pPr>
            <w:r w:rsidRPr="00A33AB0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4034" w:type="dxa"/>
          </w:tcPr>
          <w:p w:rsidR="00B84CE2" w:rsidRDefault="00B84CE2" w:rsidP="00B9299D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B84CE2" w:rsidRPr="00A33AB0" w:rsidRDefault="00B84CE2" w:rsidP="00B9299D">
            <w:pPr>
              <w:rPr>
                <w:rFonts w:ascii="Rotis" w:hAnsi="Rotis" w:cs="Tahoma"/>
                <w:i/>
                <w:sz w:val="20"/>
              </w:rPr>
            </w:pPr>
            <w:r w:rsidRPr="00A33AB0">
              <w:rPr>
                <w:rFonts w:ascii="Rotis" w:hAnsi="Rotis" w:cs="Tahoma"/>
                <w:i/>
                <w:iCs/>
                <w:sz w:val="20"/>
              </w:rPr>
              <w:t xml:space="preserve">“Angriff contra Abwehr – eigene und gegnerische Stärken und Schwächen erkennen und Handlungsmöglichkeiten einschätzen“ </w:t>
            </w:r>
          </w:p>
        </w:tc>
      </w:tr>
    </w:tbl>
    <w:p w:rsidR="00CB043B" w:rsidRDefault="00CB043B" w:rsidP="00CB043B">
      <w:pPr>
        <w:rPr>
          <w:rFonts w:ascii="Rotis" w:hAnsi="Rotis"/>
        </w:rPr>
      </w:pPr>
    </w:p>
    <w:p w:rsidR="00CB043B" w:rsidRDefault="00CB043B" w:rsidP="00CB043B">
      <w:pPr>
        <w:rPr>
          <w:rFonts w:ascii="Rotis" w:hAnsi="Rotis"/>
        </w:rPr>
      </w:pPr>
    </w:p>
    <w:p w:rsidR="00CB043B" w:rsidRDefault="00CB043B" w:rsidP="00CB043B">
      <w:pPr>
        <w:rPr>
          <w:rFonts w:ascii="Rotis" w:hAnsi="Rotis"/>
        </w:rPr>
      </w:pPr>
    </w:p>
    <w:p w:rsidR="00FD76B3" w:rsidRDefault="00FD76B3"/>
    <w:sectPr w:rsidR="00FD76B3" w:rsidSect="00720172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ti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06D"/>
    <w:multiLevelType w:val="hybridMultilevel"/>
    <w:tmpl w:val="8D08017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91DE7"/>
    <w:multiLevelType w:val="hybridMultilevel"/>
    <w:tmpl w:val="E75C476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72BC2"/>
    <w:multiLevelType w:val="hybridMultilevel"/>
    <w:tmpl w:val="ACC6A1C8"/>
    <w:lvl w:ilvl="0" w:tplc="02FE3898">
      <w:start w:val="2"/>
      <w:numFmt w:val="bullet"/>
      <w:lvlText w:val="-"/>
      <w:lvlJc w:val="left"/>
      <w:pPr>
        <w:ind w:left="720" w:hanging="360"/>
      </w:pPr>
      <w:rPr>
        <w:rFonts w:ascii="Rotis" w:eastAsia="Times New Roman" w:hAnsi="Roti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70015"/>
    <w:multiLevelType w:val="hybridMultilevel"/>
    <w:tmpl w:val="A1A6C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1E3F22"/>
    <w:multiLevelType w:val="hybridMultilevel"/>
    <w:tmpl w:val="9BBE55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7A2D7A"/>
    <w:multiLevelType w:val="hybridMultilevel"/>
    <w:tmpl w:val="CA943A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4062A7"/>
    <w:multiLevelType w:val="hybridMultilevel"/>
    <w:tmpl w:val="F04C42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B"/>
    <w:rsid w:val="000A3E22"/>
    <w:rsid w:val="005166FA"/>
    <w:rsid w:val="00692CE6"/>
    <w:rsid w:val="00720172"/>
    <w:rsid w:val="008925AF"/>
    <w:rsid w:val="008D4F05"/>
    <w:rsid w:val="00B84CE2"/>
    <w:rsid w:val="00B9299D"/>
    <w:rsid w:val="00CB043B"/>
    <w:rsid w:val="00FD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3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3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5310</Characters>
  <Application>Microsoft Macintosh Word</Application>
  <DocSecurity>0</DocSecurity>
  <Lines>44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Becker</dc:creator>
  <cp:keywords/>
  <dc:description/>
  <cp:lastModifiedBy>Jeanette Becker</cp:lastModifiedBy>
  <cp:revision>2</cp:revision>
  <cp:lastPrinted>2016-03-16T18:15:00Z</cp:lastPrinted>
  <dcterms:created xsi:type="dcterms:W3CDTF">2016-03-16T18:32:00Z</dcterms:created>
  <dcterms:modified xsi:type="dcterms:W3CDTF">2016-03-16T18:32:00Z</dcterms:modified>
</cp:coreProperties>
</file>